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Courier New" w:cs="Courier New" w:eastAsia="Courier New" w:hAnsi="Courier New"/>
          <w:sz w:val="18"/>
          <w:szCs w:val="18"/>
          <w:color w:val="auto"/>
        </w:rPr>
        <w:t>pap169941328_020221.txt</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SECURITIES AND EXCHANGE COMMISSION</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Washington, D.C. 20549</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SCHEDULE 13G</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Under the Securities Exchange Act of 1934</w:t>
      </w:r>
    </w:p>
    <w:p>
      <w:pPr>
        <w:spacing w:after="0" w:line="201" w:lineRule="exact"/>
        <w:rPr>
          <w:sz w:val="24"/>
          <w:szCs w:val="24"/>
          <w:color w:val="auto"/>
        </w:rPr>
      </w:pPr>
    </w:p>
    <w:p>
      <w:pPr>
        <w:spacing w:after="0"/>
        <w:tabs>
          <w:tab w:leader="none" w:pos="1680" w:val="left"/>
        </w:tabs>
        <w:rPr>
          <w:sz w:val="20"/>
          <w:szCs w:val="20"/>
          <w:color w:val="auto"/>
        </w:rPr>
      </w:pPr>
      <w:r>
        <w:rPr>
          <w:rFonts w:ascii="Courier New" w:cs="Courier New" w:eastAsia="Courier New" w:hAnsi="Courier New"/>
          <w:sz w:val="18"/>
          <w:szCs w:val="18"/>
          <w:color w:val="auto"/>
        </w:rPr>
        <w:t>(Amendment No:</w:t>
      </w:r>
      <w:r>
        <w:rPr>
          <w:sz w:val="20"/>
          <w:szCs w:val="20"/>
          <w:color w:val="auto"/>
        </w:rPr>
        <w:tab/>
      </w:r>
      <w:r>
        <w:rPr>
          <w:rFonts w:ascii="Courier New" w:cs="Courier New" w:eastAsia="Courier New" w:hAnsi="Courier New"/>
          <w:sz w:val="16"/>
          <w:szCs w:val="16"/>
          <w:color w:val="auto"/>
        </w:rPr>
        <w:t>)</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FOREIGN TRADE BANK OF LATIN AMERICA INC</w:t>
      </w:r>
    </w:p>
    <w:p>
      <w:pPr>
        <w:spacing w:after="0" w:line="29"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rPr>
          <w:sz w:val="20"/>
          <w:szCs w:val="20"/>
          <w:color w:val="auto"/>
        </w:rPr>
      </w:pPr>
      <w:r>
        <w:rPr>
          <w:rFonts w:ascii="Courier New" w:cs="Courier New" w:eastAsia="Courier New" w:hAnsi="Courier New"/>
          <w:sz w:val="18"/>
          <w:szCs w:val="18"/>
          <w:color w:val="auto"/>
        </w:rPr>
        <w:t>(Name of Issuer)</w:t>
      </w:r>
    </w:p>
    <w:p>
      <w:pPr>
        <w:spacing w:after="0" w:line="169" w:lineRule="exact"/>
        <w:rPr>
          <w:sz w:val="24"/>
          <w:szCs w:val="24"/>
          <w:color w:val="auto"/>
        </w:rPr>
      </w:pPr>
    </w:p>
    <w:p>
      <w:pPr>
        <w:ind w:left="120"/>
        <w:spacing w:after="0"/>
        <w:rPr>
          <w:sz w:val="20"/>
          <w:szCs w:val="20"/>
          <w:color w:val="auto"/>
        </w:rPr>
      </w:pPr>
      <w:r>
        <w:rPr>
          <w:rFonts w:ascii="Courier New" w:cs="Courier New" w:eastAsia="Courier New" w:hAnsi="Courier New"/>
          <w:sz w:val="18"/>
          <w:szCs w:val="18"/>
          <w:color w:val="auto"/>
        </w:rPr>
        <w:t>Common Stock</w:t>
      </w:r>
    </w:p>
    <w:p>
      <w:pPr>
        <w:spacing w:after="0" w:line="29"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rPr>
          <w:sz w:val="20"/>
          <w:szCs w:val="20"/>
          <w:color w:val="auto"/>
        </w:rPr>
      </w:pPr>
      <w:r>
        <w:rPr>
          <w:rFonts w:ascii="Courier New" w:cs="Courier New" w:eastAsia="Courier New" w:hAnsi="Courier New"/>
          <w:sz w:val="18"/>
          <w:szCs w:val="18"/>
          <w:color w:val="auto"/>
        </w:rPr>
        <w:t>(Title of Class of Securities)</w:t>
      </w:r>
    </w:p>
    <w:p>
      <w:pPr>
        <w:spacing w:after="0" w:line="169"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2069485</w:t>
      </w:r>
    </w:p>
    <w:p>
      <w:pPr>
        <w:spacing w:after="0" w:line="29"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rPr>
          <w:sz w:val="20"/>
          <w:szCs w:val="20"/>
          <w:color w:val="auto"/>
        </w:rPr>
      </w:pPr>
      <w:r>
        <w:rPr>
          <w:rFonts w:ascii="Courier New" w:cs="Courier New" w:eastAsia="Courier New" w:hAnsi="Courier New"/>
          <w:sz w:val="18"/>
          <w:szCs w:val="18"/>
          <w:color w:val="auto"/>
        </w:rPr>
        <w:t>(SEDOL Number)</w:t>
      </w:r>
    </w:p>
    <w:p>
      <w:pPr>
        <w:spacing w:after="0" w:line="169"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December 31, 2020</w:t>
      </w:r>
    </w:p>
    <w:p>
      <w:pPr>
        <w:spacing w:after="0" w:line="29"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169" w:lineRule="exact"/>
        <w:rPr>
          <w:sz w:val="24"/>
          <w:szCs w:val="24"/>
          <w:color w:val="auto"/>
        </w:rPr>
      </w:pPr>
    </w:p>
    <w:p>
      <w:pPr>
        <w:ind w:right="3919"/>
        <w:spacing w:after="0" w:line="346" w:lineRule="auto"/>
        <w:rPr>
          <w:sz w:val="20"/>
          <w:szCs w:val="20"/>
          <w:color w:val="auto"/>
        </w:rPr>
      </w:pPr>
      <w:r>
        <w:rPr>
          <w:rFonts w:ascii="Courier New" w:cs="Courier New" w:eastAsia="Courier New" w:hAnsi="Courier New"/>
          <w:sz w:val="18"/>
          <w:szCs w:val="18"/>
          <w:color w:val="auto"/>
        </w:rPr>
        <w:t>Check the appropriate box to designate the rule pursuant to which this Schedule is filed:</w:t>
      </w:r>
    </w:p>
    <w:p>
      <w:pPr>
        <w:spacing w:after="0" w:line="20" w:lineRule="exact"/>
        <w:rPr>
          <w:sz w:val="24"/>
          <w:szCs w:val="24"/>
          <w:color w:val="auto"/>
        </w:rPr>
      </w:pPr>
    </w:p>
    <w:p>
      <w:pPr>
        <w:jc w:val="both"/>
        <w:ind w:right="8339" w:firstLine="8"/>
        <w:spacing w:after="0" w:line="344" w:lineRule="auto"/>
        <w:tabs>
          <w:tab w:leader="none" w:pos="421" w:val="left"/>
        </w:tabs>
        <w:numPr>
          <w:ilvl w:val="0"/>
          <w:numId w:val="1"/>
        </w:numPr>
        <w:rPr>
          <w:rFonts w:ascii="Courier New" w:cs="Courier New" w:eastAsia="Courier New" w:hAnsi="Courier New"/>
          <w:sz w:val="16"/>
          <w:szCs w:val="16"/>
          <w:color w:val="auto"/>
        </w:rPr>
      </w:pPr>
      <w:r>
        <w:rPr>
          <w:rFonts w:ascii="Courier New" w:cs="Courier New" w:eastAsia="Courier New" w:hAnsi="Courier New"/>
          <w:sz w:val="16"/>
          <w:szCs w:val="16"/>
          <w:color w:val="auto"/>
        </w:rPr>
        <w:t>Rule 13d-1(b) [ ] Rule 13d-1(c) [ ] Rule 13d-1(d)</w:t>
      </w:r>
    </w:p>
    <w:p>
      <w:pPr>
        <w:spacing w:after="0" w:line="233"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*The remainder of this cover page shall be filled out</w:t>
      </w:r>
    </w:p>
    <w:p>
      <w:pPr>
        <w:spacing w:after="0" w:line="31" w:lineRule="exact"/>
        <w:rPr>
          <w:sz w:val="24"/>
          <w:szCs w:val="24"/>
          <w:color w:val="auto"/>
        </w:rPr>
      </w:pPr>
    </w:p>
    <w:p>
      <w:pPr>
        <w:ind w:right="4119"/>
        <w:spacing w:after="0" w:line="268" w:lineRule="auto"/>
        <w:rPr>
          <w:sz w:val="20"/>
          <w:szCs w:val="20"/>
          <w:color w:val="auto"/>
        </w:rPr>
      </w:pPr>
      <w:r>
        <w:rPr>
          <w:rFonts w:ascii="Courier New" w:cs="Courier New" w:eastAsia="Courier New" w:hAnsi="Courier New"/>
          <w:sz w:val="16"/>
          <w:szCs w:val="16"/>
          <w:color w:val="auto"/>
        </w:rPr>
        <w:t>for a reporting person's initial filing on this form with respect to the subject class of securities, and for any subsequent amendment containing information which</w:t>
      </w:r>
    </w:p>
    <w:p>
      <w:pPr>
        <w:spacing w:after="0"/>
        <w:rPr>
          <w:sz w:val="20"/>
          <w:szCs w:val="20"/>
          <w:color w:val="auto"/>
        </w:rPr>
      </w:pPr>
      <w:r>
        <w:rPr>
          <w:rFonts w:ascii="Courier New" w:cs="Courier New" w:eastAsia="Courier New" w:hAnsi="Courier New"/>
          <w:sz w:val="18"/>
          <w:szCs w:val="18"/>
          <w:color w:val="auto"/>
        </w:rPr>
        <w:t>would alter the disclosures provided in a prior cover page.</w:t>
      </w:r>
    </w:p>
    <w:p>
      <w:pPr>
        <w:spacing w:after="0" w:line="169" w:lineRule="exact"/>
        <w:rPr>
          <w:sz w:val="24"/>
          <w:szCs w:val="24"/>
          <w:color w:val="auto"/>
        </w:rPr>
      </w:pPr>
    </w:p>
    <w:p>
      <w:pPr>
        <w:ind w:right="4339"/>
        <w:spacing w:after="0" w:line="298" w:lineRule="auto"/>
        <w:rPr>
          <w:sz w:val="20"/>
          <w:szCs w:val="20"/>
          <w:color w:val="auto"/>
        </w:rPr>
      </w:pPr>
      <w:r>
        <w:rPr>
          <w:rFonts w:ascii="Courier New" w:cs="Courier New" w:eastAsia="Courier New" w:hAnsi="Courier New"/>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77" w:lineRule="exact"/>
        <w:rPr>
          <w:sz w:val="24"/>
          <w:szCs w:val="24"/>
          <w:color w:val="auto"/>
        </w:rPr>
      </w:pPr>
    </w:p>
    <w:p>
      <w:pPr>
        <w:spacing w:after="0"/>
        <w:tabs>
          <w:tab w:leader="none" w:pos="1260" w:val="left"/>
        </w:tabs>
        <w:rPr>
          <w:sz w:val="20"/>
          <w:szCs w:val="20"/>
          <w:color w:val="auto"/>
        </w:rPr>
      </w:pPr>
      <w:r>
        <w:rPr>
          <w:rFonts w:ascii="Courier New" w:cs="Courier New" w:eastAsia="Courier New" w:hAnsi="Courier New"/>
          <w:sz w:val="18"/>
          <w:szCs w:val="18"/>
          <w:color w:val="auto"/>
        </w:rPr>
        <w:t>SEDOL No.</w:t>
      </w:r>
      <w:r>
        <w:rPr>
          <w:sz w:val="20"/>
          <w:szCs w:val="20"/>
          <w:color w:val="auto"/>
        </w:rPr>
        <w:tab/>
      </w:r>
      <w:r>
        <w:rPr>
          <w:rFonts w:ascii="Courier New" w:cs="Courier New" w:eastAsia="Courier New" w:hAnsi="Courier New"/>
          <w:sz w:val="16"/>
          <w:szCs w:val="16"/>
          <w:color w:val="auto"/>
        </w:rPr>
        <w:t>2069485</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(1)Names of reporting persons. BlackRock, Inc.</w:t>
      </w:r>
    </w:p>
    <w:p>
      <w:pPr>
        <w:spacing w:after="0" w:line="200" w:lineRule="exact"/>
        <w:rPr>
          <w:sz w:val="24"/>
          <w:szCs w:val="24"/>
          <w:color w:val="auto"/>
        </w:rPr>
      </w:pPr>
    </w:p>
    <w:p>
      <w:pPr>
        <w:spacing w:after="0" w:line="204" w:lineRule="exact"/>
        <w:rPr>
          <w:sz w:val="24"/>
          <w:szCs w:val="24"/>
          <w:color w:val="auto"/>
        </w:rPr>
      </w:pPr>
    </w:p>
    <w:p>
      <w:pPr>
        <w:ind w:left="420" w:hanging="412"/>
        <w:spacing w:after="0"/>
        <w:tabs>
          <w:tab w:leader="none" w:pos="42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w:t>
      </w:r>
    </w:p>
    <w:p>
      <w:pPr>
        <w:spacing w:after="0" w:line="30" w:lineRule="exact"/>
        <w:rPr>
          <w:rFonts w:ascii="Courier New" w:cs="Courier New" w:eastAsia="Courier New" w:hAnsi="Courier New"/>
          <w:sz w:val="18"/>
          <w:szCs w:val="18"/>
          <w:color w:val="auto"/>
        </w:rPr>
      </w:pPr>
    </w:p>
    <w:p>
      <w:pPr>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(a) [  ]</w:t>
      </w:r>
    </w:p>
    <w:p>
      <w:pPr>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(b) [X]</w:t>
      </w:r>
    </w:p>
    <w:p>
      <w:pPr>
        <w:spacing w:after="0" w:line="371" w:lineRule="exact"/>
        <w:rPr>
          <w:rFonts w:ascii="Courier New" w:cs="Courier New" w:eastAsia="Courier New" w:hAnsi="Courier New"/>
          <w:sz w:val="18"/>
          <w:szCs w:val="18"/>
          <w:color w:val="auto"/>
        </w:rPr>
      </w:pPr>
    </w:p>
    <w:p>
      <w:pPr>
        <w:ind w:left="420" w:hanging="412"/>
        <w:spacing w:after="0"/>
        <w:tabs>
          <w:tab w:leader="none" w:pos="42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pacing w:after="0" w:line="201" w:lineRule="exact"/>
        <w:rPr>
          <w:rFonts w:ascii="Courier New" w:cs="Courier New" w:eastAsia="Courier New" w:hAnsi="Courier New"/>
          <w:sz w:val="18"/>
          <w:szCs w:val="18"/>
          <w:color w:val="auto"/>
        </w:rPr>
      </w:pPr>
    </w:p>
    <w:p>
      <w:pPr>
        <w:ind w:left="420" w:hanging="412"/>
        <w:spacing w:after="0"/>
        <w:tabs>
          <w:tab w:leader="none" w:pos="42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or place of organization</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Delaware</w:t>
      </w:r>
    </w:p>
    <w:p>
      <w:pPr>
        <w:spacing w:after="0" w:line="201" w:lineRule="exact"/>
        <w:rPr>
          <w:sz w:val="24"/>
          <w:szCs w:val="24"/>
          <w:color w:val="auto"/>
        </w:rPr>
      </w:pPr>
    </w:p>
    <w:p>
      <w:pPr>
        <w:spacing w:after="0"/>
        <w:rPr>
          <w:sz w:val="20"/>
          <w:szCs w:val="20"/>
          <w:color w:val="auto"/>
        </w:rPr>
      </w:pPr>
      <w:r>
        <w:rPr>
          <w:rFonts w:ascii="Courier New" w:cs="Courier New" w:eastAsia="Courier New" w:hAnsi="Courier New"/>
          <w:sz w:val="16"/>
          <w:szCs w:val="16"/>
          <w:color w:val="auto"/>
        </w:rPr>
        <w:t>Number of shares beneficially owned by each reporting person with:</w:t>
      </w:r>
    </w:p>
    <w:p>
      <w:pPr>
        <w:spacing w:after="0" w:line="224" w:lineRule="exact"/>
        <w:rPr>
          <w:sz w:val="24"/>
          <w:szCs w:val="24"/>
          <w:color w:val="auto"/>
        </w:rPr>
      </w:pPr>
    </w:p>
    <w:p>
      <w:pPr>
        <w:ind w:left="120" w:right="7919" w:hanging="112"/>
        <w:spacing w:after="0" w:line="476" w:lineRule="auto"/>
        <w:tabs>
          <w:tab w:leader="none" w:pos="436"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voting power 1521590</w:t>
      </w:r>
    </w:p>
    <w:p>
      <w:pPr>
        <w:spacing w:after="0" w:line="1" w:lineRule="exact"/>
        <w:rPr>
          <w:rFonts w:ascii="Courier New" w:cs="Courier New" w:eastAsia="Courier New" w:hAnsi="Courier New"/>
          <w:sz w:val="18"/>
          <w:szCs w:val="18"/>
          <w:color w:val="auto"/>
        </w:rPr>
      </w:pPr>
    </w:p>
    <w:p>
      <w:pPr>
        <w:ind w:left="420" w:hanging="412"/>
        <w:spacing w:after="0"/>
        <w:tabs>
          <w:tab w:leader="none" w:pos="4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voting power</w:t>
      </w:r>
    </w:p>
    <w:p>
      <w:pPr>
        <w:spacing w:after="0" w:line="201" w:lineRule="exact"/>
        <w:rPr>
          <w:rFonts w:ascii="Courier New" w:cs="Courier New" w:eastAsia="Courier New" w:hAnsi="Courier New"/>
          <w:sz w:val="18"/>
          <w:szCs w:val="18"/>
          <w:color w:val="auto"/>
        </w:rPr>
      </w:pPr>
    </w:p>
    <w:p>
      <w:pPr>
        <w:ind w:left="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0</w:t>
      </w:r>
    </w:p>
    <w:p>
      <w:pPr>
        <w:spacing w:after="0" w:line="201" w:lineRule="exact"/>
        <w:rPr>
          <w:rFonts w:ascii="Courier New" w:cs="Courier New" w:eastAsia="Courier New" w:hAnsi="Courier New"/>
          <w:sz w:val="18"/>
          <w:szCs w:val="18"/>
          <w:color w:val="auto"/>
        </w:rPr>
      </w:pPr>
    </w:p>
    <w:p>
      <w:pPr>
        <w:ind w:left="420" w:hanging="412"/>
        <w:spacing w:after="0"/>
        <w:tabs>
          <w:tab w:leader="none" w:pos="4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dispositive power</w:t>
      </w:r>
    </w:p>
    <w:p>
      <w:pPr>
        <w:sectPr>
          <w:pgSz w:w="11900" w:h="16838" w:orient="portrait"/>
          <w:cols w:equalWidth="0" w:num="1">
            <w:col w:w="10139"/>
          </w:cols>
          <w:pgMar w:left="320" w:top="218" w:right="1440" w:bottom="0" w:gutter="0" w:footer="0" w:header="0"/>
        </w:sectPr>
      </w:pPr>
    </w:p>
    <w:bookmarkStart w:id="1" w:name="page2"/>
    <w:bookmarkEnd w:id="1"/>
    <w:p>
      <w:pPr>
        <w:ind w:left="120"/>
        <w:spacing w:after="0"/>
        <w:rPr>
          <w:sz w:val="20"/>
          <w:szCs w:val="20"/>
          <w:color w:val="auto"/>
        </w:rPr>
      </w:pPr>
      <w:r>
        <w:rPr>
          <w:rFonts w:ascii="Courier New" w:cs="Courier New" w:eastAsia="Courier New" w:hAnsi="Courier New"/>
          <w:sz w:val="18"/>
          <w:szCs w:val="18"/>
          <w:color w:val="auto"/>
        </w:rPr>
        <w:t>1554037</w:t>
      </w:r>
    </w:p>
    <w:p>
      <w:pPr>
        <w:spacing w:after="0" w:line="201" w:lineRule="exact"/>
        <w:rPr>
          <w:sz w:val="20"/>
          <w:szCs w:val="20"/>
          <w:color w:val="auto"/>
        </w:rPr>
      </w:pPr>
    </w:p>
    <w:p>
      <w:pPr>
        <w:ind w:left="420" w:hanging="412"/>
        <w:spacing w:after="0"/>
        <w:tabs>
          <w:tab w:leader="none" w:pos="4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dispositive power</w:t>
      </w:r>
    </w:p>
    <w:p>
      <w:pPr>
        <w:spacing w:after="0" w:line="201" w:lineRule="exact"/>
        <w:rPr>
          <w:rFonts w:ascii="Courier New" w:cs="Courier New" w:eastAsia="Courier New" w:hAnsi="Courier New"/>
          <w:sz w:val="18"/>
          <w:szCs w:val="18"/>
          <w:color w:val="auto"/>
        </w:rPr>
      </w:pPr>
    </w:p>
    <w:p>
      <w:pPr>
        <w:ind w:left="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0</w:t>
      </w:r>
    </w:p>
    <w:p>
      <w:pPr>
        <w:spacing w:after="0" w:line="201" w:lineRule="exact"/>
        <w:rPr>
          <w:rFonts w:ascii="Courier New" w:cs="Courier New" w:eastAsia="Courier New" w:hAnsi="Courier New"/>
          <w:sz w:val="18"/>
          <w:szCs w:val="18"/>
          <w:color w:val="auto"/>
        </w:rPr>
      </w:pPr>
    </w:p>
    <w:p>
      <w:pPr>
        <w:ind w:left="120" w:right="3399" w:hanging="112"/>
        <w:spacing w:after="0" w:line="476" w:lineRule="auto"/>
        <w:tabs>
          <w:tab w:leader="none" w:pos="436"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1554037</w:t>
      </w:r>
    </w:p>
    <w:p>
      <w:pPr>
        <w:spacing w:after="0" w:line="1" w:lineRule="exact"/>
        <w:rPr>
          <w:rFonts w:ascii="Courier New" w:cs="Courier New" w:eastAsia="Courier New" w:hAnsi="Courier New"/>
          <w:sz w:val="18"/>
          <w:szCs w:val="18"/>
          <w:color w:val="auto"/>
        </w:rPr>
      </w:pPr>
    </w:p>
    <w:p>
      <w:pPr>
        <w:ind w:left="540" w:hanging="532"/>
        <w:spacing w:after="0"/>
        <w:tabs>
          <w:tab w:leader="none" w:pos="5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w:t>
      </w:r>
    </w:p>
    <w:p>
      <w:pPr>
        <w:spacing w:after="0" w:line="201" w:lineRule="exact"/>
        <w:rPr>
          <w:rFonts w:ascii="Courier New" w:cs="Courier New" w:eastAsia="Courier New" w:hAnsi="Courier New"/>
          <w:sz w:val="18"/>
          <w:szCs w:val="18"/>
          <w:color w:val="auto"/>
        </w:rPr>
      </w:pPr>
    </w:p>
    <w:p>
      <w:pPr>
        <w:ind w:left="540" w:hanging="532"/>
        <w:spacing w:after="0"/>
        <w:tabs>
          <w:tab w:leader="none" w:pos="5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w:t>
      </w:r>
    </w:p>
    <w:p>
      <w:pPr>
        <w:spacing w:after="0" w:line="201" w:lineRule="exact"/>
        <w:rPr>
          <w:sz w:val="20"/>
          <w:szCs w:val="20"/>
          <w:color w:val="auto"/>
        </w:rPr>
      </w:pPr>
    </w:p>
    <w:p>
      <w:pPr>
        <w:ind w:left="120"/>
        <w:spacing w:after="0"/>
        <w:rPr>
          <w:sz w:val="20"/>
          <w:szCs w:val="20"/>
          <w:color w:val="auto"/>
        </w:rPr>
      </w:pPr>
      <w:r>
        <w:rPr>
          <w:rFonts w:ascii="Courier New" w:cs="Courier New" w:eastAsia="Courier New" w:hAnsi="Courier New"/>
          <w:sz w:val="18"/>
          <w:szCs w:val="18"/>
          <w:color w:val="auto"/>
        </w:rPr>
        <w:t>5.0%</w:t>
      </w:r>
    </w:p>
    <w:p>
      <w:pPr>
        <w:spacing w:after="0" w:line="201" w:lineRule="exact"/>
        <w:rPr>
          <w:sz w:val="20"/>
          <w:szCs w:val="20"/>
          <w:color w:val="auto"/>
        </w:rPr>
      </w:pPr>
    </w:p>
    <w:p>
      <w:pPr>
        <w:ind w:left="540" w:hanging="532"/>
        <w:spacing w:after="0"/>
        <w:tabs>
          <w:tab w:leader="none" w:pos="5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w:t>
      </w:r>
    </w:p>
    <w:p>
      <w:pPr>
        <w:spacing w:after="0" w:line="201" w:lineRule="exact"/>
        <w:rPr>
          <w:rFonts w:ascii="Courier New" w:cs="Courier New" w:eastAsia="Courier New" w:hAnsi="Courier New"/>
          <w:sz w:val="18"/>
          <w:szCs w:val="18"/>
          <w:color w:val="auto"/>
        </w:rPr>
      </w:pPr>
    </w:p>
    <w:p>
      <w:pPr>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HC</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1(a) Name of issuer:</w:t>
      </w:r>
    </w:p>
    <w:p>
      <w:pPr>
        <w:spacing w:after="0" w:line="3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line="169"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FOREIGN TRADE BANK OF LATIN AMERICA INC</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1(b) Address of issuer's principal executive offices:</w:t>
      </w:r>
    </w:p>
    <w:p>
      <w:pPr>
        <w:spacing w:after="0" w:line="3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line="169" w:lineRule="exact"/>
        <w:rPr>
          <w:sz w:val="20"/>
          <w:szCs w:val="20"/>
          <w:color w:val="auto"/>
        </w:rPr>
      </w:pPr>
    </w:p>
    <w:p>
      <w:pPr>
        <w:ind w:right="2239"/>
        <w:spacing w:after="0" w:line="346" w:lineRule="auto"/>
        <w:rPr>
          <w:sz w:val="20"/>
          <w:szCs w:val="20"/>
          <w:color w:val="auto"/>
        </w:rPr>
      </w:pPr>
      <w:r>
        <w:rPr>
          <w:rFonts w:ascii="Courier New" w:cs="Courier New" w:eastAsia="Courier New" w:hAnsi="Courier New"/>
          <w:sz w:val="18"/>
          <w:szCs w:val="18"/>
          <w:color w:val="auto"/>
        </w:rPr>
        <w:t>BUSINESS PARK TORRE V, AVE. LA ROTONDA, COSTA DEL ESTE, P.O. BOX 0819-08730 PANAMA CITY Panama</w:t>
      </w:r>
    </w:p>
    <w:p>
      <w:pPr>
        <w:spacing w:after="0" w:line="22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2.</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2(a) Name of person filing:</w:t>
      </w:r>
    </w:p>
    <w:p>
      <w:pPr>
        <w:spacing w:after="0" w:line="29"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rPr>
          <w:sz w:val="20"/>
          <w:szCs w:val="20"/>
          <w:color w:val="auto"/>
        </w:rPr>
      </w:pPr>
      <w:r>
        <w:rPr>
          <w:rFonts w:ascii="Courier New" w:cs="Courier New" w:eastAsia="Courier New" w:hAnsi="Courier New"/>
          <w:sz w:val="18"/>
          <w:szCs w:val="18"/>
          <w:color w:val="auto"/>
        </w:rPr>
        <w:t>BlackRock, Inc.</w:t>
      </w:r>
    </w:p>
    <w:p>
      <w:pPr>
        <w:spacing w:after="0" w:line="37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2(b) Address or principal business office or, if none, residence:</w:t>
      </w:r>
    </w:p>
    <w:p>
      <w:pPr>
        <w:spacing w:after="0" w:line="29"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line="238" w:lineRule="auto"/>
        <w:rPr>
          <w:sz w:val="20"/>
          <w:szCs w:val="20"/>
          <w:color w:val="auto"/>
        </w:rPr>
      </w:pPr>
      <w:r>
        <w:rPr>
          <w:rFonts w:ascii="Courier New" w:cs="Courier New" w:eastAsia="Courier New" w:hAnsi="Courier New"/>
          <w:sz w:val="18"/>
          <w:szCs w:val="18"/>
          <w:color w:val="auto"/>
        </w:rPr>
        <w:t>BlackRock, Inc.</w:t>
      </w:r>
    </w:p>
    <w:p>
      <w:pPr>
        <w:spacing w:after="0" w:line="238" w:lineRule="auto"/>
        <w:rPr>
          <w:sz w:val="20"/>
          <w:szCs w:val="20"/>
          <w:color w:val="auto"/>
        </w:rPr>
      </w:pPr>
      <w:r>
        <w:rPr>
          <w:rFonts w:ascii="Courier New" w:cs="Courier New" w:eastAsia="Courier New" w:hAnsi="Courier New"/>
          <w:sz w:val="18"/>
          <w:szCs w:val="18"/>
          <w:color w:val="auto"/>
        </w:rPr>
        <w:t>55 East 52nd Street</w:t>
      </w:r>
    </w:p>
    <w:p>
      <w:pPr>
        <w:spacing w:after="0" w:line="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New York, NY 10055</w:t>
      </w:r>
    </w:p>
    <w:p>
      <w:pPr>
        <w:spacing w:after="0" w:line="37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2(c) Citizenship:</w:t>
      </w:r>
    </w:p>
    <w:p>
      <w:pPr>
        <w:spacing w:after="0" w:line="29"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w:t>
      </w:r>
    </w:p>
    <w:p>
      <w:pPr>
        <w:ind w:left="120"/>
        <w:spacing w:after="0"/>
        <w:rPr>
          <w:sz w:val="20"/>
          <w:szCs w:val="20"/>
          <w:color w:val="auto"/>
        </w:rPr>
      </w:pPr>
      <w:r>
        <w:rPr>
          <w:rFonts w:ascii="Courier New" w:cs="Courier New" w:eastAsia="Courier New" w:hAnsi="Courier New"/>
          <w:sz w:val="18"/>
          <w:szCs w:val="18"/>
          <w:color w:val="auto"/>
        </w:rPr>
        <w:t>See Item 4 of Cover Page</w:t>
      </w:r>
    </w:p>
    <w:p>
      <w:pPr>
        <w:spacing w:after="0" w:line="37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2(d) Title of class of securities:</w:t>
      </w:r>
    </w:p>
    <w:p>
      <w:pPr>
        <w:spacing w:after="0" w:line="3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line="169" w:lineRule="exact"/>
        <w:rPr>
          <w:sz w:val="20"/>
          <w:szCs w:val="20"/>
          <w:color w:val="auto"/>
        </w:rPr>
      </w:pPr>
    </w:p>
    <w:p>
      <w:pPr>
        <w:ind w:left="120"/>
        <w:spacing w:after="0"/>
        <w:rPr>
          <w:sz w:val="20"/>
          <w:szCs w:val="20"/>
          <w:color w:val="auto"/>
        </w:rPr>
      </w:pPr>
      <w:r>
        <w:rPr>
          <w:rFonts w:ascii="Courier New" w:cs="Courier New" w:eastAsia="Courier New" w:hAnsi="Courier New"/>
          <w:sz w:val="18"/>
          <w:szCs w:val="18"/>
          <w:color w:val="auto"/>
        </w:rPr>
        <w:t>Common Stock</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2(e) SEDOL No.:</w:t>
      </w:r>
    </w:p>
    <w:p>
      <w:pPr>
        <w:spacing w:after="0" w:line="3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See Cover Page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3.</w:t>
      </w:r>
    </w:p>
    <w:p>
      <w:pPr>
        <w:spacing w:after="0" w:line="201" w:lineRule="exact"/>
        <w:rPr>
          <w:sz w:val="20"/>
          <w:szCs w:val="20"/>
          <w:color w:val="auto"/>
        </w:rPr>
      </w:pPr>
    </w:p>
    <w:p>
      <w:pPr>
        <w:ind w:right="2339"/>
        <w:spacing w:after="0" w:line="257" w:lineRule="auto"/>
        <w:rPr>
          <w:sz w:val="20"/>
          <w:szCs w:val="20"/>
          <w:color w:val="auto"/>
        </w:rPr>
      </w:pPr>
      <w:r>
        <w:rPr>
          <w:rFonts w:ascii="Courier New" w:cs="Courier New" w:eastAsia="Courier New" w:hAnsi="Courier New"/>
          <w:sz w:val="18"/>
          <w:szCs w:val="18"/>
          <w:color w:val="auto"/>
        </w:rPr>
        <w:t>If this statement is filed pursuant to Rules 13d-1(b), or 13d-2(b) or (c), check whether the person filing is a:</w:t>
      </w:r>
    </w:p>
    <w:p>
      <w:pPr>
        <w:ind w:left="220" w:hanging="212"/>
        <w:spacing w:after="0" w:line="238" w:lineRule="auto"/>
        <w:tabs>
          <w:tab w:leader="none" w:pos="2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Broker or dealer registered under Section 15 of the Act;</w:t>
      </w:r>
    </w:p>
    <w:p>
      <w:pPr>
        <w:ind w:left="220" w:hanging="212"/>
        <w:spacing w:after="0" w:line="238" w:lineRule="auto"/>
        <w:tabs>
          <w:tab w:leader="none" w:pos="2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Bank as defined in Section 3(a)(6) of the Act;</w:t>
      </w:r>
    </w:p>
    <w:p>
      <w:pPr>
        <w:ind w:left="220" w:hanging="212"/>
        <w:spacing w:after="0" w:line="238" w:lineRule="auto"/>
        <w:tabs>
          <w:tab w:leader="none" w:pos="2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Insurance company as defined in Section 3(a)(19) of the Act;</w:t>
      </w:r>
    </w:p>
    <w:p>
      <w:pPr>
        <w:ind w:right="4239" w:firstLine="8"/>
        <w:spacing w:after="0" w:line="238" w:lineRule="auto"/>
        <w:tabs>
          <w:tab w:leader="none" w:pos="211"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Investment company registered under Section 8 of the Investment Company Act of 1940;</w:t>
      </w:r>
    </w:p>
    <w:p>
      <w:pPr>
        <w:ind w:left="220" w:hanging="212"/>
        <w:spacing w:after="0"/>
        <w:tabs>
          <w:tab w:leader="none" w:pos="2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An investment adviser in accordance with Rule 13d-1(b)(1)(ii)(E);</w:t>
      </w:r>
    </w:p>
    <w:p>
      <w:pPr>
        <w:sectPr>
          <w:pgSz w:w="11900" w:h="16838" w:orient="portrait"/>
          <w:cols w:equalWidth="0" w:num="1">
            <w:col w:w="10139"/>
          </w:cols>
          <w:pgMar w:left="320" w:top="110" w:right="1440" w:bottom="0" w:gutter="0" w:footer="0" w:header="0"/>
        </w:sectPr>
      </w:pPr>
    </w:p>
    <w:bookmarkStart w:id="2" w:name="page3"/>
    <w:bookmarkEnd w:id="2"/>
    <w:p>
      <w:pPr>
        <w:ind w:left="1280" w:right="3279" w:hanging="1272"/>
        <w:spacing w:after="0" w:line="257" w:lineRule="auto"/>
        <w:tabs>
          <w:tab w:leader="none" w:pos="227"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 An employee benefit plan or endowment fund in accordance with Rule 13d-1(b)(1)(ii)(F);</w:t>
      </w:r>
    </w:p>
    <w:p>
      <w:pPr>
        <w:ind w:left="1280" w:right="3279" w:hanging="1272"/>
        <w:spacing w:after="0" w:line="238" w:lineRule="auto"/>
        <w:tabs>
          <w:tab w:leader="none" w:pos="438"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parent holding company or control person in accordance with Rule 13d-1(b)(1)(ii)(G);</w:t>
      </w:r>
    </w:p>
    <w:p>
      <w:pPr>
        <w:spacing w:after="0" w:line="1" w:lineRule="exact"/>
        <w:rPr>
          <w:sz w:val="20"/>
          <w:szCs w:val="20"/>
          <w:color w:val="auto"/>
        </w:rPr>
      </w:pPr>
    </w:p>
    <w:p>
      <w:pPr>
        <w:ind w:left="1280" w:right="2979" w:hanging="1263"/>
        <w:spacing w:after="0" w:line="238" w:lineRule="auto"/>
        <w:rPr>
          <w:sz w:val="20"/>
          <w:szCs w:val="20"/>
          <w:color w:val="auto"/>
        </w:rPr>
      </w:pPr>
      <w:r>
        <w:rPr>
          <w:rFonts w:ascii="Courier New" w:cs="Courier New" w:eastAsia="Courier New" w:hAnsi="Courier New"/>
          <w:sz w:val="18"/>
          <w:szCs w:val="18"/>
          <w:color w:val="auto"/>
        </w:rPr>
        <w:t>[ ] A savings associations as defined in Section 3(b) of the Federal Deposit Insurance Act (12 U.S.C. 1813);</w:t>
      </w:r>
    </w:p>
    <w:p>
      <w:pPr>
        <w:spacing w:after="0"/>
        <w:rPr>
          <w:sz w:val="20"/>
          <w:szCs w:val="20"/>
          <w:color w:val="auto"/>
        </w:rPr>
      </w:pPr>
      <w:r>
        <w:rPr>
          <w:rFonts w:ascii="Courier New" w:cs="Courier New" w:eastAsia="Courier New" w:hAnsi="Courier New"/>
          <w:sz w:val="18"/>
          <w:szCs w:val="18"/>
          <w:color w:val="auto"/>
        </w:rPr>
        <w:t>[ ] A church plan that is excluded from the definition of an</w:t>
      </w:r>
    </w:p>
    <w:p>
      <w:pPr>
        <w:ind w:left="1280" w:right="1819"/>
        <w:spacing w:after="0" w:line="238" w:lineRule="auto"/>
        <w:rPr>
          <w:sz w:val="20"/>
          <w:szCs w:val="20"/>
          <w:color w:val="auto"/>
        </w:rPr>
      </w:pPr>
      <w:r>
        <w:rPr>
          <w:rFonts w:ascii="Courier New" w:cs="Courier New" w:eastAsia="Courier New" w:hAnsi="Courier New"/>
          <w:sz w:val="18"/>
          <w:szCs w:val="18"/>
          <w:color w:val="auto"/>
        </w:rPr>
        <w:t>investment company under section 3(c)(14) of the Investment Company Act of 1940;</w:t>
      </w:r>
    </w:p>
    <w:p>
      <w:pPr>
        <w:spacing w:after="0" w:line="1" w:lineRule="exact"/>
        <w:rPr>
          <w:sz w:val="20"/>
          <w:szCs w:val="20"/>
          <w:color w:val="auto"/>
        </w:rPr>
      </w:pPr>
    </w:p>
    <w:p>
      <w:pPr>
        <w:ind w:left="1280" w:right="5399" w:hanging="1272"/>
        <w:spacing w:after="0" w:line="268" w:lineRule="auto"/>
        <w:tabs>
          <w:tab w:leader="none" w:pos="227" w:val="left"/>
        </w:tabs>
        <w:numPr>
          <w:ilvl w:val="0"/>
          <w:numId w:val="9"/>
        </w:numPr>
        <w:rPr>
          <w:rFonts w:ascii="Courier New" w:cs="Courier New" w:eastAsia="Courier New" w:hAnsi="Courier New"/>
          <w:sz w:val="16"/>
          <w:szCs w:val="16"/>
          <w:color w:val="auto"/>
        </w:rPr>
      </w:pPr>
      <w:r>
        <w:rPr>
          <w:rFonts w:ascii="Courier New" w:cs="Courier New" w:eastAsia="Courier New" w:hAnsi="Courier New"/>
          <w:sz w:val="16"/>
          <w:szCs w:val="16"/>
          <w:color w:val="auto"/>
        </w:rPr>
        <w:t>] A non-U.S. institution in accordance with Rule 240.13d-1(b)(1)(ii)(J);</w:t>
      </w:r>
    </w:p>
    <w:p>
      <w:pPr>
        <w:ind w:left="1280" w:right="2979" w:hanging="1272"/>
        <w:spacing w:after="0" w:line="238" w:lineRule="auto"/>
        <w:tabs>
          <w:tab w:leader="none" w:pos="227"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 Group, in accordance with Rule 240.13d-1(b)(1)(ii)(K). If filing as a non-U.S. institution in accordance with</w:t>
      </w:r>
    </w:p>
    <w:p>
      <w:pPr>
        <w:ind w:left="1280" w:right="3079"/>
        <w:spacing w:after="0" w:line="309"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Rule 240.13d-1(b)(1)(ii)(J), please specify the type of institution:</w:t>
      </w:r>
    </w:p>
    <w:p>
      <w:pPr>
        <w:spacing w:after="0" w:line="253"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4. Ownership</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Provide the following information regarding the aggregate number</w:t>
      </w:r>
    </w:p>
    <w:p>
      <w:pPr>
        <w:spacing w:after="0" w:line="3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and percentage of the class of securities of the issuer identified in Item 1.</w:t>
      </w:r>
    </w:p>
    <w:p>
      <w:pPr>
        <w:spacing w:after="0" w:line="37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Amount beneficially owned:</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1554037</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Percent of class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5.0%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Number of shares as to which such person has:</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Sole power to vote or to direct the vote</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1521590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Shared power to vote or to direct the vote</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0</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Sole power to dispose or to direct the disposition of</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1554037</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Shared power to dispose or to direct the disposition of</w:t>
      </w:r>
    </w:p>
    <w:p>
      <w:pPr>
        <w:spacing w:after="0" w:line="201" w:lineRule="exact"/>
        <w:rPr>
          <w:sz w:val="20"/>
          <w:szCs w:val="20"/>
          <w:color w:val="auto"/>
        </w:rPr>
      </w:pPr>
    </w:p>
    <w:p>
      <w:pPr>
        <w:ind w:left="220"/>
        <w:spacing w:after="0"/>
        <w:rPr>
          <w:sz w:val="20"/>
          <w:szCs w:val="20"/>
          <w:color w:val="auto"/>
        </w:rPr>
      </w:pPr>
      <w:r>
        <w:rPr>
          <w:rFonts w:ascii="Courier New" w:cs="Courier New" w:eastAsia="Courier New" w:hAnsi="Courier New"/>
          <w:sz w:val="18"/>
          <w:szCs w:val="18"/>
          <w:color w:val="auto"/>
        </w:rPr>
        <w:t>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5.</w:t>
      </w:r>
    </w:p>
    <w:p>
      <w:pPr>
        <w:spacing w:after="0" w:line="201" w:lineRule="exact"/>
        <w:rPr>
          <w:sz w:val="20"/>
          <w:szCs w:val="20"/>
          <w:color w:val="auto"/>
        </w:rPr>
      </w:pPr>
    </w:p>
    <w:p>
      <w:pPr>
        <w:ind w:right="2559"/>
        <w:spacing w:after="0" w:line="274" w:lineRule="auto"/>
        <w:rPr>
          <w:sz w:val="20"/>
          <w:szCs w:val="20"/>
          <w:color w:val="auto"/>
        </w:rPr>
      </w:pPr>
      <w:r>
        <w:rPr>
          <w:rFonts w:ascii="Courier New" w:cs="Courier New" w:eastAsia="Courier New" w:hAnsi="Courier New"/>
          <w:sz w:val="18"/>
          <w:szCs w:val="18"/>
          <w:color w:val="auto"/>
        </w:rPr>
        <w:t>Ownership of 5 Percent or Less of a Class. If this statement is being filed to report the fact that as of the date hereof the reporting person has ceased to be the beneficial owner of more than 5 percent of the class of securities, check the following [ ].</w:t>
      </w:r>
    </w:p>
    <w:p>
      <w:pPr>
        <w:spacing w:after="0" w:line="28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6. Ownership of More than 5 Percent on Behalf of Another Person</w:t>
      </w:r>
    </w:p>
    <w:p>
      <w:pPr>
        <w:spacing w:after="0" w:line="201" w:lineRule="exact"/>
        <w:rPr>
          <w:sz w:val="20"/>
          <w:szCs w:val="20"/>
          <w:color w:val="auto"/>
        </w:rPr>
      </w:pPr>
    </w:p>
    <w:p>
      <w:pPr>
        <w:ind w:left="220" w:right="2119"/>
        <w:spacing w:after="0" w:line="253" w:lineRule="auto"/>
        <w:rPr>
          <w:sz w:val="20"/>
          <w:szCs w:val="20"/>
          <w:color w:val="auto"/>
        </w:rPr>
      </w:pPr>
      <w:r>
        <w:rPr>
          <w:rFonts w:ascii="Courier New" w:cs="Courier New" w:eastAsia="Courier New" w:hAnsi="Courier New"/>
          <w:sz w:val="18"/>
          <w:szCs w:val="18"/>
          <w:color w:val="auto"/>
        </w:rPr>
        <w:t>If any other person is known to have the right to receive or the power to direct the receipt of dividends from, or the proceeds from the sale of, such securities, a statement to that effect should be included in response to this item and, if such interest relates to more than 5 percent of the class, such person should be identified. A listing of the shareholders of an investment company registered under the Investment Company Act of 1940 or the beneficiaries of employee benefit plan, pension fund or endowment fund is not required.</w:t>
      </w:r>
    </w:p>
    <w:p>
      <w:pPr>
        <w:spacing w:after="0" w:line="103" w:lineRule="exact"/>
        <w:rPr>
          <w:sz w:val="20"/>
          <w:szCs w:val="20"/>
          <w:color w:val="auto"/>
        </w:rPr>
      </w:pPr>
    </w:p>
    <w:p>
      <w:pPr>
        <w:jc w:val="both"/>
        <w:ind w:left="320" w:right="3179" w:hanging="104"/>
        <w:spacing w:after="0" w:line="250" w:lineRule="auto"/>
        <w:rPr>
          <w:sz w:val="20"/>
          <w:szCs w:val="20"/>
          <w:color w:val="auto"/>
        </w:rPr>
      </w:pPr>
      <w:r>
        <w:rPr>
          <w:rFonts w:ascii="Courier New" w:cs="Courier New" w:eastAsia="Courier New" w:hAnsi="Courier New"/>
          <w:sz w:val="18"/>
          <w:szCs w:val="18"/>
          <w:color w:val="auto"/>
        </w:rPr>
        <w:t>Various persons have the right to receive or the power to direct the receipt of dividends from, or the proceeds from the sale of the common stock of</w:t>
      </w:r>
    </w:p>
    <w:p>
      <w:pPr>
        <w:spacing w:after="0" w:line="1" w:lineRule="exact"/>
        <w:rPr>
          <w:sz w:val="20"/>
          <w:szCs w:val="20"/>
          <w:color w:val="auto"/>
        </w:rPr>
      </w:pPr>
    </w:p>
    <w:p>
      <w:pPr>
        <w:ind w:left="320"/>
        <w:spacing w:after="0"/>
        <w:rPr>
          <w:sz w:val="20"/>
          <w:szCs w:val="20"/>
          <w:color w:val="auto"/>
        </w:rPr>
      </w:pPr>
      <w:r>
        <w:rPr>
          <w:rFonts w:ascii="Courier New" w:cs="Courier New" w:eastAsia="Courier New" w:hAnsi="Courier New"/>
          <w:sz w:val="18"/>
          <w:szCs w:val="18"/>
          <w:color w:val="auto"/>
        </w:rPr>
        <w:t>FOREIGN TRADE BANK OF LATIN AMERICA INC.</w:t>
      </w:r>
    </w:p>
    <w:p>
      <w:pPr>
        <w:ind w:left="320"/>
        <w:spacing w:after="0"/>
        <w:rPr>
          <w:sz w:val="20"/>
          <w:szCs w:val="20"/>
          <w:color w:val="auto"/>
        </w:rPr>
      </w:pPr>
      <w:r>
        <w:rPr>
          <w:rFonts w:ascii="Courier New" w:cs="Courier New" w:eastAsia="Courier New" w:hAnsi="Courier New"/>
          <w:sz w:val="18"/>
          <w:szCs w:val="18"/>
          <w:color w:val="auto"/>
        </w:rPr>
        <w:t>No one person's interest in the common stock of</w:t>
      </w:r>
    </w:p>
    <w:p>
      <w:pPr>
        <w:sectPr>
          <w:pgSz w:w="11900" w:h="16838" w:orient="portrait"/>
          <w:cols w:equalWidth="0" w:num="1">
            <w:col w:w="10139"/>
          </w:cols>
          <w:pgMar w:left="320" w:top="110" w:right="1440" w:bottom="0" w:gutter="0" w:footer="0" w:header="0"/>
        </w:sectPr>
      </w:pPr>
    </w:p>
    <w:bookmarkStart w:id="3" w:name="page4"/>
    <w:bookmarkEnd w:id="3"/>
    <w:p>
      <w:pPr>
        <w:ind w:left="320"/>
        <w:spacing w:after="0"/>
        <w:rPr>
          <w:sz w:val="20"/>
          <w:szCs w:val="20"/>
          <w:color w:val="auto"/>
        </w:rPr>
      </w:pPr>
      <w:r>
        <w:rPr>
          <w:rFonts w:ascii="Courier New" w:cs="Courier New" w:eastAsia="Courier New" w:hAnsi="Courier New"/>
          <w:sz w:val="18"/>
          <w:szCs w:val="18"/>
          <w:color w:val="auto"/>
        </w:rPr>
        <w:t>FOREIGN TRADE BANK OF LATIN AMERICA INC</w:t>
      </w:r>
    </w:p>
    <w:p>
      <w:pPr>
        <w:spacing w:after="0" w:line="31" w:lineRule="exact"/>
        <w:rPr>
          <w:sz w:val="20"/>
          <w:szCs w:val="20"/>
          <w:color w:val="auto"/>
        </w:rPr>
      </w:pPr>
    </w:p>
    <w:p>
      <w:pPr>
        <w:ind w:left="320"/>
        <w:spacing w:after="0"/>
        <w:rPr>
          <w:sz w:val="20"/>
          <w:szCs w:val="20"/>
          <w:color w:val="auto"/>
        </w:rPr>
      </w:pPr>
      <w:r>
        <w:rPr>
          <w:rFonts w:ascii="Courier New" w:cs="Courier New" w:eastAsia="Courier New" w:hAnsi="Courier New"/>
          <w:sz w:val="18"/>
          <w:szCs w:val="18"/>
          <w:color w:val="auto"/>
        </w:rPr>
        <w:t>is more than five percent of the total outstanding common shares.</w:t>
      </w:r>
    </w:p>
    <w:p>
      <w:pPr>
        <w:spacing w:after="0" w:line="169" w:lineRule="exact"/>
        <w:rPr>
          <w:sz w:val="20"/>
          <w:szCs w:val="20"/>
          <w:color w:val="auto"/>
        </w:rPr>
      </w:pPr>
    </w:p>
    <w:p>
      <w:pPr>
        <w:ind w:right="3279"/>
        <w:spacing w:after="0" w:line="292" w:lineRule="auto"/>
        <w:rPr>
          <w:sz w:val="20"/>
          <w:szCs w:val="20"/>
          <w:color w:val="auto"/>
        </w:rPr>
      </w:pPr>
      <w:r>
        <w:rPr>
          <w:rFonts w:ascii="Courier New" w:cs="Courier New" w:eastAsia="Courier New" w:hAnsi="Courier New"/>
          <w:sz w:val="18"/>
          <w:szCs w:val="18"/>
          <w:color w:val="auto"/>
        </w:rPr>
        <w:t>Item 7. Identification and Classification of the Subsidiary Which Acquired the Security Being Reported on by the Parent Holding Company or Control Person.</w:t>
      </w:r>
    </w:p>
    <w:p>
      <w:pPr>
        <w:spacing w:after="0" w:line="268"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See Exhibit A</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8. Identification and Classification of Members of the Group</w:t>
      </w:r>
    </w:p>
    <w:p>
      <w:pPr>
        <w:spacing w:after="0" w:line="200" w:lineRule="exact"/>
        <w:rPr>
          <w:sz w:val="20"/>
          <w:szCs w:val="20"/>
          <w:color w:val="auto"/>
        </w:rPr>
      </w:pPr>
    </w:p>
    <w:p>
      <w:pPr>
        <w:spacing w:after="0" w:line="202"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2700" w:type="dxa"/>
            <w:vAlign w:val="bottom"/>
            <w:gridSpan w:val="4"/>
          </w:tcPr>
          <w:p>
            <w:pPr>
              <w:spacing w:after="0"/>
              <w:rPr>
                <w:sz w:val="20"/>
                <w:szCs w:val="20"/>
                <w:color w:val="auto"/>
              </w:rPr>
            </w:pPr>
            <w:r>
              <w:rPr>
                <w:rFonts w:ascii="Courier New" w:cs="Courier New" w:eastAsia="Courier New" w:hAnsi="Courier New"/>
                <w:sz w:val="18"/>
                <w:szCs w:val="18"/>
                <w:color w:val="auto"/>
                <w:w w:val="99"/>
              </w:rPr>
              <w:t>If a group has filed this</w:t>
            </w:r>
          </w:p>
        </w:tc>
        <w:tc>
          <w:tcPr>
            <w:tcW w:w="1880" w:type="dxa"/>
            <w:vAlign w:val="bottom"/>
            <w:gridSpan w:val="2"/>
          </w:tcPr>
          <w:p>
            <w:pPr>
              <w:ind w:left="40"/>
              <w:spacing w:after="0"/>
              <w:rPr>
                <w:sz w:val="20"/>
                <w:szCs w:val="20"/>
                <w:color w:val="auto"/>
              </w:rPr>
            </w:pPr>
            <w:r>
              <w:rPr>
                <w:rFonts w:ascii="Courier New" w:cs="Courier New" w:eastAsia="Courier New" w:hAnsi="Courier New"/>
                <w:sz w:val="18"/>
                <w:szCs w:val="18"/>
                <w:color w:val="auto"/>
                <w:w w:val="99"/>
              </w:rPr>
              <w:t>schedule pursuant</w:t>
            </w:r>
          </w:p>
        </w:tc>
        <w:tc>
          <w:tcPr>
            <w:tcW w:w="2800" w:type="dxa"/>
            <w:vAlign w:val="bottom"/>
            <w:gridSpan w:val="3"/>
          </w:tcPr>
          <w:p>
            <w:pPr>
              <w:ind w:left="60"/>
              <w:spacing w:after="0"/>
              <w:rPr>
                <w:sz w:val="20"/>
                <w:szCs w:val="20"/>
                <w:color w:val="auto"/>
              </w:rPr>
            </w:pPr>
            <w:r>
              <w:rPr>
                <w:rFonts w:ascii="Courier New" w:cs="Courier New" w:eastAsia="Courier New" w:hAnsi="Courier New"/>
                <w:sz w:val="18"/>
                <w:szCs w:val="18"/>
                <w:color w:val="auto"/>
              </w:rPr>
              <w:t>to Rule 13d-1(b)(ii)(J),</w:t>
            </w:r>
          </w:p>
        </w:tc>
      </w:tr>
      <w:tr>
        <w:trPr>
          <w:trHeight w:val="203"/>
        </w:trPr>
        <w:tc>
          <w:tcPr>
            <w:tcW w:w="186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so indicate under</w:t>
            </w:r>
          </w:p>
        </w:tc>
        <w:tc>
          <w:tcPr>
            <w:tcW w:w="2460" w:type="dxa"/>
            <w:vAlign w:val="bottom"/>
            <w:gridSpan w:val="2"/>
          </w:tcPr>
          <w:p>
            <w:pPr>
              <w:ind w:left="40"/>
              <w:spacing w:after="0" w:line="203" w:lineRule="exact"/>
              <w:rPr>
                <w:sz w:val="20"/>
                <w:szCs w:val="20"/>
                <w:color w:val="auto"/>
              </w:rPr>
            </w:pPr>
            <w:r>
              <w:rPr>
                <w:rFonts w:ascii="Courier New" w:cs="Courier New" w:eastAsia="Courier New" w:hAnsi="Courier New"/>
                <w:sz w:val="18"/>
                <w:szCs w:val="18"/>
                <w:color w:val="auto"/>
                <w:w w:val="96"/>
              </w:rPr>
              <w:t>Item 3(j) and attach an</w:t>
            </w:r>
          </w:p>
        </w:tc>
        <w:tc>
          <w:tcPr>
            <w:tcW w:w="900" w:type="dxa"/>
            <w:vAlign w:val="bottom"/>
            <w:gridSpan w:val="2"/>
          </w:tcPr>
          <w:p>
            <w:pPr>
              <w:ind w:left="120"/>
              <w:spacing w:after="0" w:line="203" w:lineRule="exact"/>
              <w:rPr>
                <w:sz w:val="20"/>
                <w:szCs w:val="20"/>
                <w:color w:val="auto"/>
              </w:rPr>
            </w:pPr>
            <w:r>
              <w:rPr>
                <w:rFonts w:ascii="Courier New" w:cs="Courier New" w:eastAsia="Courier New" w:hAnsi="Courier New"/>
                <w:sz w:val="18"/>
                <w:szCs w:val="18"/>
                <w:color w:val="auto"/>
              </w:rPr>
              <w:t>exhibit</w:t>
            </w:r>
          </w:p>
        </w:tc>
        <w:tc>
          <w:tcPr>
            <w:tcW w:w="840" w:type="dxa"/>
            <w:vAlign w:val="bottom"/>
          </w:tcPr>
          <w:p>
            <w:pPr>
              <w:jc w:val="right"/>
              <w:spacing w:after="0" w:line="203" w:lineRule="exact"/>
              <w:rPr>
                <w:sz w:val="20"/>
                <w:szCs w:val="20"/>
                <w:color w:val="auto"/>
              </w:rPr>
            </w:pPr>
            <w:r>
              <w:rPr>
                <w:rFonts w:ascii="Courier New" w:cs="Courier New" w:eastAsia="Courier New" w:hAnsi="Courier New"/>
                <w:sz w:val="18"/>
                <w:szCs w:val="18"/>
                <w:color w:val="auto"/>
              </w:rPr>
              <w:t>stating</w:t>
            </w:r>
          </w:p>
        </w:tc>
        <w:tc>
          <w:tcPr>
            <w:tcW w:w="132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w w:val="95"/>
              </w:rPr>
              <w:t>the identity</w:t>
            </w:r>
          </w:p>
        </w:tc>
      </w:t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and</w:t>
            </w:r>
          </w:p>
        </w:tc>
        <w:tc>
          <w:tcPr>
            <w:tcW w:w="2320" w:type="dxa"/>
            <w:vAlign w:val="bottom"/>
            <w:gridSpan w:val="3"/>
          </w:tcPr>
          <w:p>
            <w:pPr>
              <w:ind w:left="40"/>
              <w:spacing w:after="0" w:line="203" w:lineRule="exact"/>
              <w:rPr>
                <w:sz w:val="20"/>
                <w:szCs w:val="20"/>
                <w:color w:val="auto"/>
              </w:rPr>
            </w:pPr>
            <w:r>
              <w:rPr>
                <w:rFonts w:ascii="Courier New" w:cs="Courier New" w:eastAsia="Courier New" w:hAnsi="Courier New"/>
                <w:sz w:val="18"/>
                <w:szCs w:val="18"/>
                <w:color w:val="auto"/>
                <w:w w:val="99"/>
              </w:rPr>
              <w:t>Item 3 classification</w:t>
            </w:r>
          </w:p>
        </w:tc>
        <w:tc>
          <w:tcPr>
            <w:tcW w:w="16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of each member</w:t>
            </w:r>
          </w:p>
        </w:tc>
        <w:tc>
          <w:tcPr>
            <w:tcW w:w="260" w:type="dxa"/>
            <w:vAlign w:val="bottom"/>
          </w:tcPr>
          <w:p>
            <w:pPr>
              <w:spacing w:after="0" w:line="203" w:lineRule="exact"/>
              <w:rPr>
                <w:sz w:val="20"/>
                <w:szCs w:val="20"/>
                <w:color w:val="auto"/>
              </w:rPr>
            </w:pPr>
            <w:r>
              <w:rPr>
                <w:rFonts w:ascii="Courier New" w:cs="Courier New" w:eastAsia="Courier New" w:hAnsi="Courier New"/>
                <w:sz w:val="18"/>
                <w:szCs w:val="18"/>
                <w:color w:val="auto"/>
              </w:rPr>
              <w:t>of</w:t>
            </w:r>
          </w:p>
        </w:tc>
        <w:tc>
          <w:tcPr>
            <w:tcW w:w="1480" w:type="dxa"/>
            <w:vAlign w:val="bottom"/>
            <w:gridSpan w:val="2"/>
          </w:tcPr>
          <w:p>
            <w:pPr>
              <w:jc w:val="right"/>
              <w:spacing w:after="0" w:line="203" w:lineRule="exact"/>
              <w:rPr>
                <w:sz w:val="20"/>
                <w:szCs w:val="20"/>
                <w:color w:val="auto"/>
              </w:rPr>
            </w:pPr>
            <w:r>
              <w:rPr>
                <w:rFonts w:ascii="Courier New" w:cs="Courier New" w:eastAsia="Courier New" w:hAnsi="Courier New"/>
                <w:sz w:val="18"/>
                <w:szCs w:val="18"/>
                <w:color w:val="auto"/>
              </w:rPr>
              <w:t>the group. If</w:t>
            </w:r>
          </w:p>
        </w:tc>
        <w:tc>
          <w:tcPr>
            <w:tcW w:w="132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a group</w:t>
            </w:r>
          </w:p>
        </w:tc>
      </w:t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has</w:t>
            </w:r>
          </w:p>
        </w:tc>
        <w:tc>
          <w:tcPr>
            <w:tcW w:w="6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filed</w:t>
            </w:r>
          </w:p>
        </w:tc>
        <w:tc>
          <w:tcPr>
            <w:tcW w:w="3320" w:type="dxa"/>
            <w:vAlign w:val="bottom"/>
            <w:gridSpan w:val="3"/>
          </w:tcPr>
          <w:p>
            <w:pPr>
              <w:ind w:left="60"/>
              <w:spacing w:after="0" w:line="203" w:lineRule="exact"/>
              <w:rPr>
                <w:sz w:val="20"/>
                <w:szCs w:val="20"/>
                <w:color w:val="auto"/>
              </w:rPr>
            </w:pPr>
            <w:r>
              <w:rPr>
                <w:rFonts w:ascii="Courier New" w:cs="Courier New" w:eastAsia="Courier New" w:hAnsi="Courier New"/>
                <w:sz w:val="18"/>
                <w:szCs w:val="18"/>
                <w:color w:val="auto"/>
                <w:w w:val="99"/>
              </w:rPr>
              <w:t>this schedule pursuant to Rule</w:t>
            </w:r>
          </w:p>
        </w:tc>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13d-1(c)</w:t>
            </w:r>
          </w:p>
        </w:tc>
        <w:tc>
          <w:tcPr>
            <w:tcW w:w="840" w:type="dxa"/>
            <w:vAlign w:val="bottom"/>
          </w:tcPr>
          <w:p>
            <w:pPr>
              <w:jc w:val="right"/>
              <w:spacing w:after="0" w:line="203" w:lineRule="exact"/>
              <w:rPr>
                <w:sz w:val="20"/>
                <w:szCs w:val="20"/>
                <w:color w:val="auto"/>
              </w:rPr>
            </w:pPr>
            <w:r>
              <w:rPr>
                <w:rFonts w:ascii="Courier New" w:cs="Courier New" w:eastAsia="Courier New" w:hAnsi="Courier New"/>
                <w:sz w:val="18"/>
                <w:szCs w:val="18"/>
                <w:color w:val="auto"/>
              </w:rPr>
              <w:t>or Rule</w:t>
            </w:r>
          </w:p>
        </w:tc>
        <w:tc>
          <w:tcPr>
            <w:tcW w:w="132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13d-1(d),</w:t>
            </w:r>
          </w:p>
        </w:tc>
      </w:tr>
      <w:tr>
        <w:trPr>
          <w:trHeight w:val="296"/>
        </w:trPr>
        <w:tc>
          <w:tcPr>
            <w:tcW w:w="1000" w:type="dxa"/>
            <w:vAlign w:val="bottom"/>
            <w:gridSpan w:val="2"/>
          </w:tcPr>
          <w:p>
            <w:pPr>
              <w:spacing w:after="0"/>
              <w:rPr>
                <w:sz w:val="20"/>
                <w:szCs w:val="20"/>
                <w:color w:val="auto"/>
              </w:rPr>
            </w:pPr>
            <w:r>
              <w:rPr>
                <w:rFonts w:ascii="Courier New" w:cs="Courier New" w:eastAsia="Courier New" w:hAnsi="Courier New"/>
                <w:sz w:val="18"/>
                <w:szCs w:val="18"/>
                <w:color w:val="auto"/>
              </w:rPr>
              <w:t>attach an</w:t>
            </w:r>
          </w:p>
        </w:tc>
        <w:tc>
          <w:tcPr>
            <w:tcW w:w="860" w:type="dxa"/>
            <w:vAlign w:val="bottom"/>
          </w:tcPr>
          <w:p>
            <w:pPr>
              <w:ind w:left="60"/>
              <w:spacing w:after="0"/>
              <w:rPr>
                <w:sz w:val="20"/>
                <w:szCs w:val="20"/>
                <w:color w:val="auto"/>
              </w:rPr>
            </w:pPr>
            <w:r>
              <w:rPr>
                <w:rFonts w:ascii="Courier New" w:cs="Courier New" w:eastAsia="Courier New" w:hAnsi="Courier New"/>
                <w:sz w:val="18"/>
                <w:szCs w:val="18"/>
                <w:color w:val="auto"/>
              </w:rPr>
              <w:t>exhibit</w:t>
            </w:r>
          </w:p>
        </w:tc>
        <w:tc>
          <w:tcPr>
            <w:tcW w:w="840" w:type="dxa"/>
            <w:vAlign w:val="bottom"/>
          </w:tcPr>
          <w:p>
            <w:pPr>
              <w:ind w:left="40"/>
              <w:spacing w:after="0"/>
              <w:rPr>
                <w:sz w:val="20"/>
                <w:szCs w:val="20"/>
                <w:color w:val="auto"/>
              </w:rPr>
            </w:pPr>
            <w:r>
              <w:rPr>
                <w:rFonts w:ascii="Courier New" w:cs="Courier New" w:eastAsia="Courier New" w:hAnsi="Courier New"/>
                <w:sz w:val="18"/>
                <w:szCs w:val="18"/>
                <w:color w:val="auto"/>
              </w:rPr>
              <w:t>stating</w:t>
            </w:r>
          </w:p>
        </w:tc>
        <w:tc>
          <w:tcPr>
            <w:tcW w:w="1620" w:type="dxa"/>
            <w:vAlign w:val="bottom"/>
          </w:tcPr>
          <w:p>
            <w:pPr>
              <w:ind w:left="40"/>
              <w:spacing w:after="0"/>
              <w:rPr>
                <w:sz w:val="20"/>
                <w:szCs w:val="20"/>
                <w:color w:val="auto"/>
              </w:rPr>
            </w:pPr>
            <w:r>
              <w:rPr>
                <w:rFonts w:ascii="Courier New" w:cs="Courier New" w:eastAsia="Courier New" w:hAnsi="Courier New"/>
                <w:sz w:val="18"/>
                <w:szCs w:val="18"/>
                <w:color w:val="auto"/>
                <w:w w:val="96"/>
              </w:rPr>
              <w:t>the identity of</w:t>
            </w:r>
          </w:p>
        </w:tc>
        <w:tc>
          <w:tcPr>
            <w:tcW w:w="3060" w:type="dxa"/>
            <w:vAlign w:val="bottom"/>
            <w:gridSpan w:val="4"/>
          </w:tcPr>
          <w:p>
            <w:pPr>
              <w:ind w:left="120"/>
              <w:spacing w:after="0"/>
              <w:rPr>
                <w:sz w:val="20"/>
                <w:szCs w:val="20"/>
                <w:color w:val="auto"/>
              </w:rPr>
            </w:pPr>
            <w:r>
              <w:rPr>
                <w:rFonts w:ascii="Courier New" w:cs="Courier New" w:eastAsia="Courier New" w:hAnsi="Courier New"/>
                <w:sz w:val="18"/>
                <w:szCs w:val="18"/>
                <w:color w:val="auto"/>
              </w:rPr>
              <w:t>each member of the group.</w:t>
            </w:r>
          </w:p>
        </w:tc>
      </w:tr>
    </w:tbl>
    <w:p>
      <w:pPr>
        <w:spacing w:after="0" w:line="31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9. Notice of Dissolution of Group</w:t>
      </w:r>
    </w:p>
    <w:p>
      <w:pPr>
        <w:spacing w:after="0" w:line="201" w:lineRule="exact"/>
        <w:rPr>
          <w:sz w:val="20"/>
          <w:szCs w:val="20"/>
          <w:color w:val="auto"/>
        </w:rPr>
      </w:pPr>
    </w:p>
    <w:p>
      <w:pPr>
        <w:ind w:right="2859"/>
        <w:spacing w:after="0" w:line="318" w:lineRule="auto"/>
        <w:rPr>
          <w:sz w:val="20"/>
          <w:szCs w:val="20"/>
          <w:color w:val="auto"/>
        </w:rPr>
      </w:pPr>
      <w:r>
        <w:rPr>
          <w:rFonts w:ascii="Courier New" w:cs="Courier New" w:eastAsia="Courier New" w:hAnsi="Courier New"/>
          <w:sz w:val="16"/>
          <w:szCs w:val="16"/>
          <w:color w:val="auto"/>
        </w:rPr>
        <w:t>Notice of dissolution of a group may be furnished as an exhibit stating the date of the dissolution and that all further filings with respect to transactions in the security reported on will be filed, if required, by members of the group, in their individual capacity.</w:t>
      </w:r>
    </w:p>
    <w:p>
      <w:pPr>
        <w:spacing w:after="0" w:line="5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See Item 5.</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10. Certifications</w:t>
      </w:r>
    </w:p>
    <w:p>
      <w:pPr>
        <w:spacing w:after="0" w:line="31" w:lineRule="exact"/>
        <w:rPr>
          <w:sz w:val="20"/>
          <w:szCs w:val="20"/>
          <w:color w:val="auto"/>
        </w:rPr>
      </w:pPr>
    </w:p>
    <w:p>
      <w:pPr>
        <w:ind w:right="3399"/>
        <w:spacing w:after="0" w:line="268" w:lineRule="auto"/>
        <w:rPr>
          <w:sz w:val="20"/>
          <w:szCs w:val="20"/>
          <w:color w:val="auto"/>
        </w:rPr>
      </w:pPr>
      <w:r>
        <w:rPr>
          <w:rFonts w:ascii="Courier New" w:cs="Courier New" w:eastAsia="Courier New" w:hAnsi="Courier New"/>
          <w:sz w:val="16"/>
          <w:szCs w:val="16"/>
          <w:color w:val="auto"/>
        </w:rPr>
        <w:t>By signing below I certify that, to the best of my knowledge and belief, the securities referred to above were acquired and are held in the ordinary course of business and were not acquired</w:t>
      </w:r>
    </w:p>
    <w:p>
      <w:pPr>
        <w:ind w:right="2979"/>
        <w:spacing w:after="0" w:line="261" w:lineRule="auto"/>
        <w:rPr>
          <w:sz w:val="20"/>
          <w:szCs w:val="20"/>
          <w:color w:val="auto"/>
        </w:rPr>
      </w:pPr>
      <w:r>
        <w:rPr>
          <w:rFonts w:ascii="Courier New" w:cs="Courier New" w:eastAsia="Courier New" w:hAnsi="Courier New"/>
          <w:sz w:val="18"/>
          <w:szCs w:val="18"/>
          <w:color w:val="auto"/>
        </w:rPr>
        <w:t>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93"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Signature.</w:t>
      </w:r>
    </w:p>
    <w:p>
      <w:pPr>
        <w:spacing w:after="0" w:line="201" w:lineRule="exact"/>
        <w:rPr>
          <w:sz w:val="20"/>
          <w:szCs w:val="20"/>
          <w:color w:val="auto"/>
        </w:rPr>
      </w:pPr>
    </w:p>
    <w:p>
      <w:pPr>
        <w:ind w:right="3179"/>
        <w:spacing w:after="0" w:line="292"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268"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Dated: February 2, 2021</w:t>
      </w:r>
    </w:p>
    <w:p>
      <w:pPr>
        <w:spacing w:after="0" w:line="3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BlackRock, Inc.</w:t>
      </w:r>
    </w:p>
    <w:p>
      <w:pPr>
        <w:spacing w:after="0" w:line="372" w:lineRule="exact"/>
        <w:rPr>
          <w:sz w:val="20"/>
          <w:szCs w:val="20"/>
          <w:color w:val="auto"/>
        </w:rPr>
      </w:pPr>
    </w:p>
    <w:p>
      <w:pPr>
        <w:spacing w:after="0"/>
        <w:tabs>
          <w:tab w:leader="none" w:pos="1260" w:val="left"/>
        </w:tabs>
        <w:rPr>
          <w:sz w:val="20"/>
          <w:szCs w:val="20"/>
          <w:color w:val="auto"/>
        </w:rPr>
      </w:pPr>
      <w:r>
        <w:rPr>
          <w:rFonts w:ascii="Courier New" w:cs="Courier New" w:eastAsia="Courier New" w:hAnsi="Courier New"/>
          <w:sz w:val="18"/>
          <w:szCs w:val="18"/>
          <w:color w:val="auto"/>
        </w:rPr>
        <w:t>Signature:</w:t>
        <w:tab/>
        <w:t>Spencer Fleming</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w:t>
      </w:r>
    </w:p>
    <w:p>
      <w:pPr>
        <w:spacing w:after="0" w:line="20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Name/Title Attorney-In-Fact</w:t>
      </w:r>
    </w:p>
    <w:p>
      <w:pPr>
        <w:spacing w:after="0" w:line="200" w:lineRule="exact"/>
        <w:rPr>
          <w:sz w:val="20"/>
          <w:szCs w:val="20"/>
          <w:color w:val="auto"/>
        </w:rPr>
      </w:pPr>
    </w:p>
    <w:p>
      <w:pPr>
        <w:spacing w:after="0" w:line="204" w:lineRule="exact"/>
        <w:rPr>
          <w:sz w:val="20"/>
          <w:szCs w:val="20"/>
          <w:color w:val="auto"/>
        </w:rPr>
      </w:pPr>
    </w:p>
    <w:p>
      <w:pPr>
        <w:ind w:right="3499"/>
        <w:spacing w:after="0" w:line="289" w:lineRule="auto"/>
        <w:rPr>
          <w:sz w:val="20"/>
          <w:szCs w:val="20"/>
          <w:color w:val="auto"/>
        </w:rPr>
      </w:pPr>
      <w:r>
        <w:rPr>
          <w:rFonts w:ascii="Courier New" w:cs="Courier New" w:eastAsia="Courier New" w:hAnsi="Courier New"/>
          <w:sz w:val="16"/>
          <w:szCs w:val="16"/>
          <w:color w:val="auto"/>
        </w:rPr>
        <w:t>The original statement shall be signed by each person on whose behalf the statement is filed or his authorized representative.</w:t>
      </w:r>
    </w:p>
    <w:p>
      <w:pPr>
        <w:ind w:right="3079"/>
        <w:spacing w:after="0" w:line="268" w:lineRule="auto"/>
        <w:rPr>
          <w:sz w:val="20"/>
          <w:szCs w:val="20"/>
          <w:color w:val="auto"/>
        </w:rPr>
      </w:pPr>
      <w:r>
        <w:rPr>
          <w:rFonts w:ascii="Courier New" w:cs="Courier New" w:eastAsia="Courier New" w:hAnsi="Courier New"/>
          <w:sz w:val="16"/>
          <w:szCs w:val="16"/>
          <w:color w:val="auto"/>
        </w:rPr>
        <w:t>If the statement is signed on behalf of a person by his authorized representative other than an executive officer or general partner of the filing person, evidence of the representative's authority to sign on behalf of such person shall be filed with the statement, provided, however, that a power of attorney for this purpose which is already on file with the Commission may be incorporated by reference. The name and any title of each person who</w:t>
      </w:r>
    </w:p>
    <w:p>
      <w:pPr>
        <w:spacing w:after="0" w:line="1"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signs the statement shall be typed or printed beneath his signature.</w:t>
      </w:r>
    </w:p>
    <w:p>
      <w:pPr>
        <w:spacing w:after="0" w:line="200" w:lineRule="exact"/>
        <w:rPr>
          <w:sz w:val="20"/>
          <w:szCs w:val="20"/>
          <w:color w:val="auto"/>
        </w:rPr>
      </w:pPr>
    </w:p>
    <w:p>
      <w:pPr>
        <w:spacing w:after="0" w:line="374" w:lineRule="exact"/>
        <w:rPr>
          <w:sz w:val="20"/>
          <w:szCs w:val="20"/>
          <w:color w:val="auto"/>
        </w:rPr>
      </w:pPr>
    </w:p>
    <w:p>
      <w:pPr>
        <w:ind w:right="2979"/>
        <w:spacing w:after="0" w:line="346" w:lineRule="auto"/>
        <w:rPr>
          <w:sz w:val="20"/>
          <w:szCs w:val="20"/>
          <w:color w:val="auto"/>
        </w:rPr>
      </w:pPr>
      <w:r>
        <w:rPr>
          <w:rFonts w:ascii="Courier New" w:cs="Courier New" w:eastAsia="Courier New" w:hAnsi="Courier New"/>
          <w:sz w:val="18"/>
          <w:szCs w:val="18"/>
          <w:color w:val="auto"/>
        </w:rPr>
        <w:t>Attention: Intentional misstatements or omissions of fact constitute Federal criminal violations (see 18 U.S.C. 1001).</w:t>
      </w:r>
    </w:p>
    <w:p>
      <w:pPr>
        <w:spacing w:after="0" w:line="22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Exhibit A</w:t>
      </w:r>
    </w:p>
    <w:p>
      <w:pPr>
        <w:sectPr>
          <w:pgSz w:w="11900" w:h="16838" w:orient="portrait"/>
          <w:cols w:equalWidth="0" w:num="1">
            <w:col w:w="10139"/>
          </w:cols>
          <w:pgMar w:left="320" w:top="110" w:right="1440" w:bottom="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Subsidiary</w:t>
      </w:r>
    </w:p>
    <w:p>
      <w:pPr>
        <w:sectPr>
          <w:pgSz w:w="11900" w:h="16838" w:orient="portrait"/>
          <w:cols w:equalWidth="0" w:num="1">
            <w:col w:w="10139"/>
          </w:cols>
          <w:pgMar w:left="320" w:top="110" w:right="1440" w:bottom="0" w:gutter="0" w:footer="0" w:header="0"/>
          <w:type w:val="continuous"/>
        </w:sectPr>
      </w:pPr>
    </w:p>
    <w:bookmarkStart w:id="4" w:name="page5"/>
    <w:bookmarkEnd w:id="4"/>
    <w:p>
      <w:pPr>
        <w:ind w:left="120"/>
        <w:spacing w:after="0"/>
        <w:rPr>
          <w:sz w:val="20"/>
          <w:szCs w:val="20"/>
          <w:color w:val="auto"/>
        </w:rPr>
      </w:pPr>
      <w:r>
        <w:rPr>
          <w:rFonts w:ascii="Courier New" w:cs="Courier New" w:eastAsia="Courier New" w:hAnsi="Courier New"/>
          <w:sz w:val="18"/>
          <w:szCs w:val="18"/>
          <w:color w:val="auto"/>
        </w:rPr>
        <w:t>BlackRock Advisors, LLC</w:t>
      </w:r>
    </w:p>
    <w:p>
      <w:pPr>
        <w:spacing w:after="0" w:line="29" w:lineRule="exact"/>
        <w:rPr>
          <w:sz w:val="20"/>
          <w:szCs w:val="20"/>
          <w:color w:val="auto"/>
        </w:rPr>
      </w:pPr>
    </w:p>
    <w:p>
      <w:pPr>
        <w:ind w:left="120"/>
        <w:spacing w:after="0"/>
        <w:rPr>
          <w:sz w:val="20"/>
          <w:szCs w:val="20"/>
          <w:color w:val="auto"/>
        </w:rPr>
      </w:pPr>
      <w:r>
        <w:rPr>
          <w:rFonts w:ascii="Courier New" w:cs="Courier New" w:eastAsia="Courier New" w:hAnsi="Courier New"/>
          <w:sz w:val="18"/>
          <w:szCs w:val="18"/>
          <w:color w:val="auto"/>
        </w:rPr>
        <w:t>BlackRock Asset Management Canada Limited</w:t>
      </w:r>
    </w:p>
    <w:p>
      <w:pPr>
        <w:ind w:left="120"/>
        <w:spacing w:after="0" w:line="238" w:lineRule="auto"/>
        <w:rPr>
          <w:sz w:val="20"/>
          <w:szCs w:val="20"/>
          <w:color w:val="auto"/>
        </w:rPr>
      </w:pPr>
      <w:r>
        <w:rPr>
          <w:rFonts w:ascii="Courier New" w:cs="Courier New" w:eastAsia="Courier New" w:hAnsi="Courier New"/>
          <w:sz w:val="18"/>
          <w:szCs w:val="18"/>
          <w:color w:val="auto"/>
        </w:rPr>
        <w:t>BlackRock Fund Advisors</w:t>
      </w:r>
    </w:p>
    <w:p>
      <w:pPr>
        <w:ind w:left="120"/>
        <w:spacing w:after="0" w:line="238" w:lineRule="auto"/>
        <w:rPr>
          <w:sz w:val="20"/>
          <w:szCs w:val="20"/>
          <w:color w:val="auto"/>
        </w:rPr>
      </w:pPr>
      <w:r>
        <w:rPr>
          <w:rFonts w:ascii="Courier New" w:cs="Courier New" w:eastAsia="Courier New" w:hAnsi="Courier New"/>
          <w:sz w:val="18"/>
          <w:szCs w:val="18"/>
          <w:color w:val="auto"/>
        </w:rPr>
        <w:t>BlackRock Institutional Trust Company, National Association</w:t>
      </w:r>
    </w:p>
    <w:p>
      <w:pPr>
        <w:ind w:left="120"/>
        <w:spacing w:after="0"/>
        <w:rPr>
          <w:sz w:val="20"/>
          <w:szCs w:val="20"/>
          <w:color w:val="auto"/>
        </w:rPr>
      </w:pPr>
      <w:r>
        <w:rPr>
          <w:rFonts w:ascii="Courier New" w:cs="Courier New" w:eastAsia="Courier New" w:hAnsi="Courier New"/>
          <w:sz w:val="18"/>
          <w:szCs w:val="18"/>
          <w:color w:val="auto"/>
        </w:rPr>
        <w:t>BlackRock Financial Management, Inc.</w:t>
      </w:r>
    </w:p>
    <w:p>
      <w:pPr>
        <w:ind w:left="120"/>
        <w:spacing w:after="0"/>
        <w:rPr>
          <w:sz w:val="20"/>
          <w:szCs w:val="20"/>
          <w:color w:val="auto"/>
        </w:rPr>
      </w:pPr>
      <w:r>
        <w:rPr>
          <w:rFonts w:ascii="Courier New" w:cs="Courier New" w:eastAsia="Courier New" w:hAnsi="Courier New"/>
          <w:sz w:val="18"/>
          <w:szCs w:val="18"/>
          <w:color w:val="auto"/>
        </w:rPr>
        <w:t>BlackRock Investment Management, LLC</w:t>
      </w: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*Entity beneficially owns 5% or greater of the outstanding</w:t>
      </w:r>
    </w:p>
    <w:p>
      <w:pPr>
        <w:spacing w:after="0" w:line="29"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shares of the security class being reported on this</w:t>
      </w:r>
    </w:p>
    <w:p>
      <w:pPr>
        <w:spacing w:after="0" w:line="238" w:lineRule="auto"/>
        <w:rPr>
          <w:sz w:val="20"/>
          <w:szCs w:val="20"/>
          <w:color w:val="auto"/>
        </w:rPr>
      </w:pPr>
      <w:r>
        <w:rPr>
          <w:rFonts w:ascii="Courier New" w:cs="Courier New" w:eastAsia="Courier New" w:hAnsi="Courier New"/>
          <w:sz w:val="18"/>
          <w:szCs w:val="18"/>
          <w:color w:val="auto"/>
        </w:rPr>
        <w:t>Schedule 13G.</w:t>
      </w:r>
    </w:p>
    <w:p>
      <w:pPr>
        <w:spacing w:after="0"/>
        <w:rPr>
          <w:sz w:val="20"/>
          <w:szCs w:val="20"/>
          <w:color w:val="auto"/>
        </w:rPr>
      </w:pPr>
      <w:r>
        <w:rPr>
          <w:rFonts w:ascii="Courier New" w:cs="Courier New" w:eastAsia="Courier New" w:hAnsi="Courier New"/>
          <w:sz w:val="18"/>
          <w:szCs w:val="18"/>
          <w:color w:val="auto"/>
        </w:rPr>
        <w:t>Exhibit B</w:t>
      </w:r>
    </w:p>
    <w:p>
      <w:pPr>
        <w:spacing w:after="0" w:line="37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POWER OF ATTORNEY</w:t>
      </w:r>
    </w:p>
    <w:p>
      <w:pPr>
        <w:spacing w:after="0" w:line="201" w:lineRule="exact"/>
        <w:rPr>
          <w:sz w:val="20"/>
          <w:szCs w:val="20"/>
          <w:color w:val="auto"/>
        </w:rPr>
      </w:pPr>
    </w:p>
    <w:p>
      <w:pPr>
        <w:ind w:right="2859"/>
        <w:spacing w:after="0" w:line="244" w:lineRule="auto"/>
        <w:rPr>
          <w:sz w:val="20"/>
          <w:szCs w:val="20"/>
          <w:color w:val="auto"/>
        </w:rPr>
      </w:pPr>
      <w:r>
        <w:rPr>
          <w:rFonts w:ascii="Courier New" w:cs="Courier New" w:eastAsia="Courier New" w:hAnsi="Courier New"/>
          <w:sz w:val="18"/>
          <w:szCs w:val="18"/>
          <w:color w:val="auto"/>
        </w:rPr>
        <w:t>The undersigned, BLACKROCK, INC., a corporation duly organized under the laws of the State of Delaware, United States (the "Company"), does hereby make, constitute and appoint each of Christopher Meade, Daniel Waltcher, Una Neary, Richard Cundiff, Charles Park, Enda McMahon, Arlene Klein, Con Tzatzakis, Karen Clark, David Maryles, Daniel Ronnen, John Stelley, Daniel Riemer,</w:t>
      </w:r>
    </w:p>
    <w:p>
      <w:pPr>
        <w:spacing w:after="0" w:line="3" w:lineRule="exact"/>
        <w:rPr>
          <w:sz w:val="20"/>
          <w:szCs w:val="20"/>
          <w:color w:val="auto"/>
        </w:rPr>
      </w:pPr>
    </w:p>
    <w:p>
      <w:pPr>
        <w:ind w:right="2019"/>
        <w:spacing w:after="0" w:line="268" w:lineRule="auto"/>
        <w:rPr>
          <w:sz w:val="20"/>
          <w:szCs w:val="20"/>
          <w:color w:val="auto"/>
        </w:rPr>
      </w:pPr>
      <w:r>
        <w:rPr>
          <w:rFonts w:ascii="Courier New" w:cs="Courier New" w:eastAsia="Courier New" w:hAnsi="Courier New"/>
          <w:sz w:val="16"/>
          <w:szCs w:val="16"/>
          <w:color w:val="auto"/>
        </w:rPr>
        <w:t>Elizabeth Kogut, Maureen Gleeson, Daniel Kalish and Spencer Fleming acting severally, as its true and lawful attorneys-in-fact, for the purpose of, from time to time, executing in its name and on its behalf, whether the Company individually or as representative of others, any and all documents, is acting certificates, instruments, statements, other filings and amendments to the foregoing (collectively, "documents") determined by such person to</w:t>
      </w:r>
    </w:p>
    <w:p>
      <w:pPr>
        <w:spacing w:after="0" w:line="1" w:lineRule="exact"/>
        <w:rPr>
          <w:sz w:val="20"/>
          <w:szCs w:val="20"/>
          <w:color w:val="auto"/>
        </w:rPr>
      </w:pPr>
    </w:p>
    <w:p>
      <w:pPr>
        <w:ind w:right="2559"/>
        <w:spacing w:after="0" w:line="268" w:lineRule="auto"/>
        <w:rPr>
          <w:sz w:val="20"/>
          <w:szCs w:val="20"/>
          <w:color w:val="auto"/>
        </w:rPr>
      </w:pPr>
      <w:r>
        <w:rPr>
          <w:rFonts w:ascii="Courier New" w:cs="Courier New" w:eastAsia="Courier New" w:hAnsi="Courier New"/>
          <w:sz w:val="16"/>
          <w:szCs w:val="16"/>
          <w:color w:val="auto"/>
        </w:rPr>
        <w:t>be necessary or appropriate to comply with ownership or control-person reporting requirements imposed by any United States or non-United States governmental or regulatory authority, Including without limitation Forms 3, 4, 5, 13D, 13F, 13G and 13H and any amendments to any of the Foregoing as may be required to be filed with the Securities and Exchange Commission, and delivering, furnishing or filing any</w:t>
      </w:r>
    </w:p>
    <w:p>
      <w:pPr>
        <w:spacing w:after="0" w:line="1" w:lineRule="exact"/>
        <w:rPr>
          <w:sz w:val="20"/>
          <w:szCs w:val="20"/>
          <w:color w:val="auto"/>
        </w:rPr>
      </w:pPr>
    </w:p>
    <w:p>
      <w:pPr>
        <w:ind w:right="2979"/>
        <w:spacing w:after="0" w:line="268" w:lineRule="auto"/>
        <w:rPr>
          <w:sz w:val="20"/>
          <w:szCs w:val="20"/>
          <w:color w:val="auto"/>
        </w:rPr>
      </w:pPr>
      <w:r>
        <w:rPr>
          <w:rFonts w:ascii="Courier New" w:cs="Courier New" w:eastAsia="Courier New" w:hAnsi="Courier New"/>
          <w:sz w:val="16"/>
          <w:szCs w:val="16"/>
          <w:color w:val="auto"/>
        </w:rPr>
        <w:t>such documents with the appropriate governmental, regulatory authority or other person, and giving and granting to each such attorney-in-fact power and authority to act in the premises as fully and to all intents and purposes as the Company might or could</w:t>
      </w:r>
    </w:p>
    <w:p>
      <w:pPr>
        <w:ind w:right="2979"/>
        <w:spacing w:after="0" w:line="252" w:lineRule="auto"/>
        <w:rPr>
          <w:sz w:val="20"/>
          <w:szCs w:val="20"/>
          <w:color w:val="auto"/>
        </w:rPr>
      </w:pPr>
      <w:r>
        <w:rPr>
          <w:rFonts w:ascii="Courier New" w:cs="Courier New" w:eastAsia="Courier New" w:hAnsi="Courier New"/>
          <w:sz w:val="18"/>
          <w:szCs w:val="18"/>
          <w:color w:val="auto"/>
        </w:rPr>
        <w:t>do if personally present by one of its authorized signatories, hereby ratifying and confirming all that said attorney-in-fact shall lawfully do or cause to be done by virtue hereof. Any such determination by an attorney-in-fact named herein shall be conclusively evidenced by such person's execution, delivery, furnishing or filing of the applicable document.</w:t>
      </w:r>
    </w:p>
    <w:p>
      <w:pPr>
        <w:spacing w:after="0" w:line="101" w:lineRule="exact"/>
        <w:rPr>
          <w:sz w:val="20"/>
          <w:szCs w:val="20"/>
          <w:color w:val="auto"/>
        </w:rPr>
      </w:pPr>
    </w:p>
    <w:p>
      <w:pPr>
        <w:ind w:right="2559"/>
        <w:spacing w:after="0" w:line="260" w:lineRule="auto"/>
        <w:rPr>
          <w:sz w:val="20"/>
          <w:szCs w:val="20"/>
          <w:color w:val="auto"/>
        </w:rPr>
      </w:pPr>
      <w:r>
        <w:rPr>
          <w:rFonts w:ascii="Courier New" w:cs="Courier New" w:eastAsia="Courier New" w:hAnsi="Courier New"/>
          <w:sz w:val="18"/>
          <w:szCs w:val="18"/>
          <w:color w:val="auto"/>
        </w:rPr>
        <w:t>This power of attorney shall expressly revoke the power of attorney dated 8th day of December, 2015 in respect of the subject matter hereof, shall be valid from the date hereof and shall remain in full force and effect until either revoked in writing by the Company, or, in respect of any attorney-in-fact named herein, until such person ceases to be an employee of the Company or one of its affiliates.</w:t>
      </w:r>
    </w:p>
    <w:p>
      <w:pPr>
        <w:spacing w:after="0" w:line="295" w:lineRule="exact"/>
        <w:rPr>
          <w:sz w:val="20"/>
          <w:szCs w:val="20"/>
          <w:color w:val="auto"/>
        </w:rPr>
      </w:pPr>
    </w:p>
    <w:p>
      <w:pPr>
        <w:jc w:val="both"/>
        <w:ind w:right="3819"/>
        <w:spacing w:after="0" w:line="402" w:lineRule="auto"/>
        <w:rPr>
          <w:sz w:val="20"/>
          <w:szCs w:val="20"/>
          <w:color w:val="auto"/>
        </w:rPr>
      </w:pPr>
      <w:r>
        <w:rPr>
          <w:rFonts w:ascii="Courier New" w:cs="Courier New" w:eastAsia="Courier New" w:hAnsi="Courier New"/>
          <w:sz w:val="16"/>
          <w:szCs w:val="16"/>
          <w:color w:val="auto"/>
        </w:rPr>
        <w:t>IN WITNESS WHEREOF, the undersigned has caused this power of attorney to be executed as of this 2nd day of January, 2019.</w:t>
      </w:r>
    </w:p>
    <w:p>
      <w:pPr>
        <w:spacing w:after="0"/>
        <w:rPr>
          <w:sz w:val="20"/>
          <w:szCs w:val="20"/>
          <w:color w:val="auto"/>
        </w:rPr>
      </w:pPr>
      <w:r>
        <w:rPr>
          <w:rFonts w:ascii="Courier New" w:cs="Courier New" w:eastAsia="Courier New" w:hAnsi="Courier New"/>
          <w:sz w:val="18"/>
          <w:szCs w:val="18"/>
          <w:color w:val="auto"/>
        </w:rPr>
        <w:t>BLACKROCK, INC.</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By:_ /s/ Daniel Waltcher</w:t>
      </w:r>
    </w:p>
    <w:p>
      <w:pPr>
        <w:spacing w:after="0" w:line="29"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Name: Daniel Waltcher</w:t>
      </w:r>
    </w:p>
    <w:p>
      <w:pPr>
        <w:spacing w:after="0"/>
        <w:rPr>
          <w:sz w:val="20"/>
          <w:szCs w:val="20"/>
          <w:color w:val="auto"/>
        </w:rPr>
      </w:pPr>
      <w:r>
        <w:rPr>
          <w:rFonts w:ascii="Courier New" w:cs="Courier New" w:eastAsia="Courier New" w:hAnsi="Courier New"/>
          <w:sz w:val="18"/>
          <w:szCs w:val="18"/>
          <w:color w:val="auto"/>
        </w:rPr>
        <w:t>Title: Deputy General Counsel</w:t>
      </w:r>
    </w:p>
    <w:sectPr>
      <w:pgSz w:w="11900" w:h="16838" w:orient="portrait"/>
      <w:cols w:equalWidth="0" w:num="1">
        <w:col w:w="10139"/>
      </w:cols>
      <w:pgMar w:left="320" w:top="515"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3D1B58BA"/>
    <w:multiLevelType w:val="hybridMultilevel"/>
    <w:lvl w:ilvl="0">
      <w:lvlJc w:val="left"/>
      <w:lvlText w:val="[%1]"/>
      <w:numFmt w:val="upperLetter"/>
      <w:start w:val="24"/>
    </w:lvl>
  </w:abstractNum>
  <w:abstractNum w:abstractNumId="1">
    <w:nsid w:val="507ED7AB"/>
    <w:multiLevelType w:val="hybridMultilevel"/>
    <w:lvl w:ilvl="0">
      <w:lvlJc w:val="left"/>
      <w:lvlText w:val="(%1)"/>
      <w:numFmt w:val="decimal"/>
      <w:start w:val="2"/>
    </w:lvl>
  </w:abstractNum>
  <w:abstractNum w:abstractNumId="2">
    <w:nsid w:val="2EB141F2"/>
    <w:multiLevelType w:val="hybridMultilevel"/>
    <w:lvl w:ilvl="0">
      <w:lvlJc w:val="left"/>
      <w:lvlText w:val="(%1)"/>
      <w:numFmt w:val="decimal"/>
      <w:start w:val="5"/>
    </w:lvl>
  </w:abstractNum>
  <w:abstractNum w:abstractNumId="3">
    <w:nsid w:val="41B71EFB"/>
    <w:multiLevelType w:val="hybridMultilevel"/>
    <w:lvl w:ilvl="0">
      <w:lvlJc w:val="left"/>
      <w:lvlText w:val="(%1)"/>
      <w:numFmt w:val="decimal"/>
      <w:start w:val="8"/>
    </w:lvl>
  </w:abstractNum>
  <w:abstractNum w:abstractNumId="4">
    <w:nsid w:val="79E2A9E3"/>
    <w:multiLevelType w:val="hybridMultilevel"/>
    <w:lvl w:ilvl="0">
      <w:lvlJc w:val="left"/>
      <w:lvlText w:val="(%1)"/>
      <w:numFmt w:val="decimal"/>
      <w:start w:val="12"/>
    </w:lvl>
  </w:abstractNum>
  <w:abstractNum w:abstractNumId="5">
    <w:nsid w:val="7545E146"/>
    <w:multiLevelType w:val="hybridMultilevel"/>
    <w:lvl w:ilvl="0">
      <w:lvlJc w:val="left"/>
      <w:lvlText w:val="["/>
      <w:numFmt w:val="bullet"/>
      <w:start w:val="1"/>
    </w:lvl>
  </w:abstractNum>
  <w:abstractNum w:abstractNumId="6">
    <w:nsid w:val="515F007C"/>
    <w:multiLevelType w:val="hybridMultilevel"/>
    <w:lvl w:ilvl="0">
      <w:lvlJc w:val="left"/>
      <w:lvlText w:val="["/>
      <w:numFmt w:val="bullet"/>
      <w:start w:val="1"/>
    </w:lvl>
  </w:abstractNum>
  <w:abstractNum w:abstractNumId="7">
    <w:nsid w:val="5BD062C2"/>
    <w:multiLevelType w:val="hybridMultilevel"/>
    <w:lvl w:ilvl="0">
      <w:lvlJc w:val="left"/>
      <w:lvlText w:val="[%1]"/>
      <w:numFmt w:val="upperLetter"/>
      <w:start w:val="24"/>
    </w:lvl>
  </w:abstractNum>
  <w:abstractNum w:abstractNumId="8">
    <w:nsid w:val="12200854"/>
    <w:multiLevelType w:val="hybridMultilevel"/>
    <w:lvl w:ilvl="0">
      <w:lvlJc w:val="left"/>
      <w:lvlText w:val="["/>
      <w:numFmt w:val="bullet"/>
      <w:start w:val="1"/>
    </w:lvl>
  </w:abstractNum>
  <w:abstractNum w:abstractNumId="9">
    <w:nsid w:val="4DB127F8"/>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2021-02-02T14:18:54Z</dcterms:created>
  <dcterms:modified xsi:type="dcterms:W3CDTF">2021-02-02T14:18:54Z</dcterms:modified>
</cp:coreProperties>
</file>